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B52BB" w14:textId="56ED07BB" w:rsidR="006711D4" w:rsidRDefault="00CA0873">
      <w:r w:rsidRPr="00CA0873">
        <w:t>Hello Rachelle Anne. I applaud your thoughts on the issue of Antigone's governance. I strongly believe that Creon needed to heed to his moral and human side and allow the niece to bury the brother. It is morally responsible to accord a dead person a decent burial regardless of the conflict you had with them when they were alive. Antigone's actions are proof that he has high regard for authority and power status more than concern for the family. Furthermore, I also think that the government has no right to interfere with people's personal lives, especially family matters such as burial ceremonies.</w:t>
      </w:r>
    </w:p>
    <w:sectPr w:rsidR="006711D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1D4"/>
    <w:rsid w:val="006511F1"/>
    <w:rsid w:val="006711D4"/>
    <w:rsid w:val="00CA0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6AF69"/>
  <w15:chartTrackingRefBased/>
  <w15:docId w15:val="{E84DA767-76B2-4BD5-BC29-4987E266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90</Words>
  <Characters>514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Njeri</dc:creator>
  <cp:keywords/>
  <dc:description/>
  <cp:lastModifiedBy>Njeri</cp:lastModifiedBy>
  <cp:revision>2</cp:revision>
  <dcterms:created xsi:type="dcterms:W3CDTF">2021-05-08T06:26:00Z</dcterms:created>
  <dcterms:modified xsi:type="dcterms:W3CDTF">2021-05-08T06:36:00Z</dcterms:modified>
</cp:coreProperties>
</file>